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7EE3" w14:textId="77777777" w:rsidR="00167887" w:rsidRDefault="00167887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A37C7C5" w14:textId="7FE7312D" w:rsidR="00CE593D" w:rsidRPr="00210DBE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Fo</w:t>
      </w:r>
      <w:r w:rsidR="004E7A19" w:rsidRPr="00210DBE">
        <w:rPr>
          <w:rFonts w:ascii="Arial" w:hAnsi="Arial" w:cs="Arial"/>
          <w:sz w:val="22"/>
          <w:szCs w:val="22"/>
        </w:rPr>
        <w:t xml:space="preserve">od </w:t>
      </w:r>
      <w:r w:rsidRPr="00210DBE">
        <w:rPr>
          <w:rFonts w:ascii="Arial" w:hAnsi="Arial" w:cs="Arial"/>
          <w:sz w:val="22"/>
          <w:szCs w:val="22"/>
        </w:rPr>
        <w:t>provide</w:t>
      </w:r>
      <w:r w:rsidR="004E7A19" w:rsidRPr="00210DBE">
        <w:rPr>
          <w:rFonts w:ascii="Arial" w:hAnsi="Arial" w:cs="Arial"/>
          <w:sz w:val="22"/>
          <w:szCs w:val="22"/>
        </w:rPr>
        <w:t>s</w:t>
      </w:r>
      <w:r w:rsidRPr="00210DBE">
        <w:rPr>
          <w:rFonts w:ascii="Arial" w:hAnsi="Arial" w:cs="Arial"/>
          <w:sz w:val="22"/>
          <w:szCs w:val="22"/>
        </w:rPr>
        <w:t xml:space="preserve"> a healthy</w:t>
      </w:r>
      <w:r w:rsidR="00093981" w:rsidRPr="00210DBE">
        <w:rPr>
          <w:rFonts w:ascii="Arial" w:hAnsi="Arial" w:cs="Arial"/>
          <w:sz w:val="22"/>
          <w:szCs w:val="22"/>
        </w:rPr>
        <w:t xml:space="preserve">, </w:t>
      </w:r>
      <w:r w:rsidRPr="00210DBE">
        <w:rPr>
          <w:rFonts w:ascii="Arial" w:hAnsi="Arial" w:cs="Arial"/>
          <w:sz w:val="22"/>
          <w:szCs w:val="22"/>
        </w:rPr>
        <w:t>balanced di</w:t>
      </w:r>
      <w:r w:rsidR="004E7A19" w:rsidRPr="00210DBE">
        <w:rPr>
          <w:rFonts w:ascii="Arial" w:hAnsi="Arial" w:cs="Arial"/>
          <w:sz w:val="22"/>
          <w:szCs w:val="22"/>
        </w:rPr>
        <w:t xml:space="preserve">et </w:t>
      </w:r>
      <w:r w:rsidRPr="00210DBE">
        <w:rPr>
          <w:rFonts w:ascii="Arial" w:hAnsi="Arial" w:cs="Arial"/>
          <w:sz w:val="22"/>
          <w:szCs w:val="22"/>
        </w:rPr>
        <w:t>for growth and development. Foods contain</w:t>
      </w:r>
      <w:r w:rsidR="00093981" w:rsidRPr="00210DBE">
        <w:rPr>
          <w:rFonts w:ascii="Arial" w:hAnsi="Arial" w:cs="Arial"/>
          <w:sz w:val="22"/>
          <w:szCs w:val="22"/>
        </w:rPr>
        <w:t>ing</w:t>
      </w:r>
      <w:r w:rsidRPr="00210DBE">
        <w:rPr>
          <w:rFonts w:ascii="Arial" w:hAnsi="Arial" w:cs="Arial"/>
          <w:sz w:val="22"/>
          <w:szCs w:val="22"/>
        </w:rPr>
        <w:t xml:space="preserve"> any of 14 alle</w:t>
      </w:r>
      <w:r w:rsidR="004E7A19" w:rsidRPr="00210DBE">
        <w:rPr>
          <w:rFonts w:ascii="Arial" w:hAnsi="Arial" w:cs="Arial"/>
          <w:sz w:val="22"/>
          <w:szCs w:val="22"/>
        </w:rPr>
        <w:t>rgen</w:t>
      </w:r>
      <w:r w:rsidR="00601EB7" w:rsidRPr="00210DBE">
        <w:rPr>
          <w:rFonts w:ascii="Arial" w:hAnsi="Arial" w:cs="Arial"/>
          <w:sz w:val="22"/>
          <w:szCs w:val="22"/>
        </w:rPr>
        <w:t>s</w:t>
      </w:r>
      <w:r w:rsidR="004E7A19" w:rsidRPr="00210DBE">
        <w:rPr>
          <w:rFonts w:ascii="Arial" w:hAnsi="Arial" w:cs="Arial"/>
          <w:sz w:val="22"/>
          <w:szCs w:val="22"/>
        </w:rPr>
        <w:t xml:space="preserve"> identified by the FS</w:t>
      </w:r>
      <w:r w:rsidRPr="00210DBE">
        <w:rPr>
          <w:rFonts w:ascii="Arial" w:hAnsi="Arial" w:cs="Arial"/>
          <w:sz w:val="22"/>
          <w:szCs w:val="22"/>
        </w:rPr>
        <w:t xml:space="preserve">A are identified on menus. </w:t>
      </w:r>
      <w:r w:rsidR="008C49B0" w:rsidRPr="00210DBE">
        <w:rPr>
          <w:rFonts w:ascii="Arial" w:hAnsi="Arial" w:cs="Arial"/>
          <w:sz w:val="22"/>
          <w:szCs w:val="22"/>
        </w:rPr>
        <w:t>Di</w:t>
      </w:r>
      <w:r w:rsidRPr="00210DBE">
        <w:rPr>
          <w:rFonts w:ascii="Arial" w:hAnsi="Arial" w:cs="Arial"/>
          <w:sz w:val="22"/>
          <w:szCs w:val="22"/>
        </w:rPr>
        <w:t>etary guidance to promote health a</w:t>
      </w:r>
      <w:r w:rsidR="00837591" w:rsidRPr="00210DBE">
        <w:rPr>
          <w:rFonts w:ascii="Arial" w:hAnsi="Arial" w:cs="Arial"/>
          <w:sz w:val="22"/>
          <w:szCs w:val="22"/>
        </w:rPr>
        <w:t>nd</w:t>
      </w:r>
      <w:r w:rsidRPr="00210DBE">
        <w:rPr>
          <w:rFonts w:ascii="Arial" w:hAnsi="Arial" w:cs="Arial"/>
          <w:sz w:val="22"/>
          <w:szCs w:val="22"/>
        </w:rPr>
        <w:t xml:space="preserve"> reduce risk of disease </w:t>
      </w:r>
      <w:r w:rsidR="008C49B0" w:rsidRPr="00210DBE">
        <w:rPr>
          <w:rFonts w:ascii="Arial" w:hAnsi="Arial" w:cs="Arial"/>
          <w:sz w:val="22"/>
          <w:szCs w:val="22"/>
        </w:rPr>
        <w:t>is followed</w:t>
      </w:r>
      <w:r w:rsidRPr="00210DBE">
        <w:rPr>
          <w:rFonts w:ascii="Arial" w:hAnsi="Arial" w:cs="Arial"/>
          <w:sz w:val="22"/>
          <w:szCs w:val="22"/>
        </w:rPr>
        <w:t>.</w:t>
      </w:r>
      <w:r w:rsidR="00601EB7" w:rsidRPr="00210DBE">
        <w:rPr>
          <w:rFonts w:ascii="Arial" w:hAnsi="Arial" w:cs="Arial"/>
          <w:sz w:val="22"/>
          <w:szCs w:val="22"/>
        </w:rPr>
        <w:t xml:space="preserve"> </w:t>
      </w:r>
      <w:r w:rsidRPr="00210DBE">
        <w:rPr>
          <w:rFonts w:ascii="Arial" w:hAnsi="Arial" w:cs="Arial"/>
          <w:sz w:val="22"/>
          <w:szCs w:val="22"/>
        </w:rPr>
        <w:t>When planning menus, the setting manager and cook ensure that:</w:t>
      </w:r>
    </w:p>
    <w:p w14:paraId="3FEF4D1A" w14:textId="19F8F8A7" w:rsidR="00CE593D" w:rsidRPr="00210DBE" w:rsidRDefault="00C91898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P</w:t>
      </w:r>
      <w:r w:rsidR="00CE593D" w:rsidRPr="00210DBE">
        <w:rPr>
          <w:rFonts w:ascii="Arial" w:hAnsi="Arial" w:cs="Arial"/>
          <w:sz w:val="22"/>
          <w:szCs w:val="22"/>
        </w:rPr>
        <w:t>arents</w:t>
      </w:r>
      <w:r w:rsidR="00A228C4" w:rsidRPr="00210DBE">
        <w:rPr>
          <w:rFonts w:ascii="Arial" w:hAnsi="Arial" w:cs="Arial"/>
          <w:sz w:val="22"/>
          <w:szCs w:val="22"/>
        </w:rPr>
        <w:t>/carers</w:t>
      </w:r>
      <w:r w:rsidR="00CE593D" w:rsidRPr="00210DBE">
        <w:rPr>
          <w:rFonts w:ascii="Arial" w:hAnsi="Arial" w:cs="Arial"/>
          <w:sz w:val="22"/>
          <w:szCs w:val="22"/>
        </w:rPr>
        <w:t xml:space="preserve"> and staff </w:t>
      </w:r>
      <w:r w:rsidR="00A228C4" w:rsidRPr="00210DBE">
        <w:rPr>
          <w:rFonts w:ascii="Arial" w:hAnsi="Arial" w:cs="Arial"/>
          <w:sz w:val="22"/>
          <w:szCs w:val="22"/>
        </w:rPr>
        <w:t>can</w:t>
      </w:r>
      <w:r w:rsidR="00CE593D" w:rsidRPr="00210DBE">
        <w:rPr>
          <w:rFonts w:ascii="Arial" w:hAnsi="Arial" w:cs="Arial"/>
          <w:sz w:val="22"/>
          <w:szCs w:val="22"/>
        </w:rPr>
        <w:t xml:space="preserve"> contribute ideas for </w:t>
      </w:r>
      <w:r w:rsidR="00167887" w:rsidRPr="00210DBE">
        <w:rPr>
          <w:rFonts w:ascii="Arial" w:hAnsi="Arial" w:cs="Arial"/>
          <w:sz w:val="22"/>
          <w:szCs w:val="22"/>
        </w:rPr>
        <w:t>snacks.</w:t>
      </w:r>
    </w:p>
    <w:p w14:paraId="0018149E" w14:textId="6FC6AC57" w:rsidR="00CE593D" w:rsidRPr="00210DBE" w:rsidRDefault="00167887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Snacks</w:t>
      </w:r>
      <w:r w:rsidR="00CE593D" w:rsidRPr="00210DBE">
        <w:rPr>
          <w:rFonts w:ascii="Arial" w:hAnsi="Arial" w:cs="Arial"/>
          <w:sz w:val="22"/>
          <w:szCs w:val="22"/>
        </w:rPr>
        <w:t xml:space="preserve"> are clearly displayed </w:t>
      </w:r>
      <w:r w:rsidRPr="00210DBE">
        <w:rPr>
          <w:rFonts w:ascii="Arial" w:hAnsi="Arial" w:cs="Arial"/>
          <w:sz w:val="22"/>
          <w:szCs w:val="22"/>
        </w:rPr>
        <w:t xml:space="preserve">in our half termly newsletter </w:t>
      </w:r>
      <w:r w:rsidR="00CE593D" w:rsidRPr="00210DBE">
        <w:rPr>
          <w:rFonts w:ascii="Arial" w:hAnsi="Arial" w:cs="Arial"/>
          <w:sz w:val="22"/>
          <w:szCs w:val="22"/>
        </w:rPr>
        <w:t>so that parents and staff know what is being provided</w:t>
      </w:r>
      <w:r w:rsidR="00415B13" w:rsidRPr="00210DBE">
        <w:rPr>
          <w:rFonts w:ascii="Arial" w:hAnsi="Arial" w:cs="Arial"/>
          <w:sz w:val="22"/>
          <w:szCs w:val="22"/>
        </w:rPr>
        <w:t>.</w:t>
      </w:r>
    </w:p>
    <w:p w14:paraId="5A770DBF" w14:textId="517B426C" w:rsidR="00CE593D" w:rsidRPr="00210DBE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P</w:t>
      </w:r>
      <w:r w:rsidR="004E7A19" w:rsidRPr="00210DBE">
        <w:rPr>
          <w:rFonts w:ascii="Arial" w:hAnsi="Arial" w:cs="Arial"/>
          <w:sz w:val="22"/>
          <w:szCs w:val="22"/>
        </w:rPr>
        <w:t>arents</w:t>
      </w:r>
      <w:r w:rsidR="00A228C4" w:rsidRPr="00210DBE">
        <w:rPr>
          <w:rFonts w:ascii="Arial" w:hAnsi="Arial" w:cs="Arial"/>
          <w:sz w:val="22"/>
          <w:szCs w:val="22"/>
        </w:rPr>
        <w:t>/carers</w:t>
      </w:r>
      <w:r w:rsidR="004E7A19" w:rsidRPr="00210DBE">
        <w:rPr>
          <w:rFonts w:ascii="Arial" w:hAnsi="Arial" w:cs="Arial"/>
          <w:sz w:val="22"/>
          <w:szCs w:val="22"/>
        </w:rPr>
        <w:t xml:space="preserve"> </w:t>
      </w:r>
      <w:r w:rsidR="00CE593D" w:rsidRPr="00210DBE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210DBE">
        <w:rPr>
          <w:rFonts w:ascii="Arial" w:hAnsi="Arial" w:cs="Arial"/>
          <w:sz w:val="22"/>
          <w:szCs w:val="22"/>
        </w:rPr>
        <w:t>.</w:t>
      </w:r>
    </w:p>
    <w:p w14:paraId="04638AE9" w14:textId="432B1E2B" w:rsidR="00CE593D" w:rsidRPr="00210DBE" w:rsidRDefault="00167887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Staff</w:t>
      </w:r>
      <w:r w:rsidR="00CE593D" w:rsidRPr="00210DBE">
        <w:rPr>
          <w:rFonts w:ascii="Arial" w:hAnsi="Arial" w:cs="Arial"/>
          <w:sz w:val="22"/>
          <w:szCs w:val="22"/>
        </w:rPr>
        <w:t xml:space="preserve"> regularly share information about the children’s levels of appetite and enjoyment of food</w:t>
      </w:r>
      <w:r w:rsidR="004D2203" w:rsidRPr="00210DBE">
        <w:rPr>
          <w:rFonts w:ascii="Arial" w:hAnsi="Arial" w:cs="Arial"/>
          <w:sz w:val="22"/>
          <w:szCs w:val="22"/>
        </w:rPr>
        <w:t xml:space="preserve"> with parents</w:t>
      </w:r>
      <w:r w:rsidR="00827407" w:rsidRPr="00210DBE">
        <w:rPr>
          <w:rFonts w:ascii="Arial" w:hAnsi="Arial" w:cs="Arial"/>
          <w:sz w:val="22"/>
          <w:szCs w:val="22"/>
        </w:rPr>
        <w:t>/carers</w:t>
      </w:r>
      <w:r w:rsidR="00415B13" w:rsidRPr="00210DBE">
        <w:rPr>
          <w:rFonts w:ascii="Arial" w:hAnsi="Arial" w:cs="Arial"/>
          <w:sz w:val="22"/>
          <w:szCs w:val="22"/>
        </w:rPr>
        <w:t>.</w:t>
      </w:r>
    </w:p>
    <w:p w14:paraId="24451577" w14:textId="77777777" w:rsidR="00210DBE" w:rsidRPr="00210DBE" w:rsidRDefault="00210DBE" w:rsidP="00210DB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F98FD88" w14:textId="207E31B1" w:rsidR="00210DBE" w:rsidRPr="00210DBE" w:rsidRDefault="00210DBE" w:rsidP="00210DB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10DBE">
        <w:rPr>
          <w:rFonts w:ascii="Arial" w:hAnsi="Arial" w:cs="Arial"/>
          <w:b/>
          <w:sz w:val="22"/>
          <w:szCs w:val="22"/>
        </w:rPr>
        <w:t>Snack times</w:t>
      </w:r>
    </w:p>
    <w:p w14:paraId="3B4332DB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 xml:space="preserve">A ‘snack’ is prepared mid-morning and mid-afternoon and can be organised according to the discretion of the setting manager e.g. picnic on a blanket. </w:t>
      </w:r>
    </w:p>
    <w:p w14:paraId="1C02DD58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Parents/carers and staff can contribute ideas for menus which are confirmed each half term in advance.</w:t>
      </w:r>
    </w:p>
    <w:p w14:paraId="34F22E05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Parents/carers must share information about their children’s particular dietary needs with staff when they enrol their children and on an on-going basis their key person/preschool office.</w:t>
      </w:r>
    </w:p>
    <w:p w14:paraId="49DC405F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Staff regularly share information about the children’s levels of appetite and enjoyment of food with parents/carers.</w:t>
      </w:r>
    </w:p>
    <w:p w14:paraId="219E4C16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Staff refer to Eat Better, Start Better – Foundation Years.  (Action for Children 2017)</w:t>
      </w:r>
    </w:p>
    <w:p w14:paraId="50D9BE16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Children may also take turns to help set the table. Small plastic jugs are provided with choice of milk or water.</w:t>
      </w:r>
    </w:p>
    <w:p w14:paraId="4C5E2084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Children wash their hands before snack-time.</w:t>
      </w:r>
    </w:p>
    <w:p w14:paraId="52124F94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Children are offered semi-skimmed milk or water.</w:t>
      </w:r>
    </w:p>
    <w:p w14:paraId="2383C2A0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 xml:space="preserve">Fruit or raw vegetables, such as carrot or tomato, are offered in batons, which children should be encouraged to help in preparing. Bananas and other foods are not cut as </w:t>
      </w:r>
      <w:proofErr w:type="gramStart"/>
      <w:r w:rsidRPr="00210DBE">
        <w:rPr>
          <w:rFonts w:ascii="Arial" w:hAnsi="Arial" w:cs="Arial"/>
          <w:sz w:val="22"/>
          <w:szCs w:val="22"/>
        </w:rPr>
        <w:t>rounds, but</w:t>
      </w:r>
      <w:proofErr w:type="gramEnd"/>
      <w:r w:rsidRPr="00210DBE">
        <w:rPr>
          <w:rFonts w:ascii="Arial" w:hAnsi="Arial" w:cs="Arial"/>
          <w:sz w:val="22"/>
          <w:szCs w:val="22"/>
        </w:rPr>
        <w:t xml:space="preserve"> are sliced into quarters to minimise a choking hazard.</w:t>
      </w:r>
    </w:p>
    <w:p w14:paraId="10CE3025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Portion sizes are gauged as appropriate to the age of the child.</w:t>
      </w:r>
    </w:p>
    <w:p w14:paraId="5119C1E0" w14:textId="79EDCC7C" w:rsidR="00210DBE" w:rsidRPr="00210DBE" w:rsidRDefault="00210DBE" w:rsidP="00210DBE">
      <w:pPr>
        <w:pStyle w:val="ListParagraph"/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642F7E52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Children arrive as they want refreshment and leave when they have had enough. Children are not made to leave their play if they do not want to have a snack.</w:t>
      </w:r>
    </w:p>
    <w:p w14:paraId="0D0E08BA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>Staff join in conversation and encourage children’s independence by allowing them to pour drinks, butter toast, cut fruit etc.</w:t>
      </w:r>
    </w:p>
    <w:p w14:paraId="6E71817D" w14:textId="77777777" w:rsidR="00210DBE" w:rsidRPr="00210DBE" w:rsidRDefault="00210DBE" w:rsidP="00210DBE">
      <w:pPr>
        <w:pStyle w:val="ListParagraph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10DBE">
        <w:rPr>
          <w:rFonts w:ascii="Arial" w:hAnsi="Arial" w:cs="Arial"/>
          <w:sz w:val="22"/>
          <w:szCs w:val="22"/>
        </w:rPr>
        <w:t xml:space="preserve">After the children have finished their </w:t>
      </w:r>
      <w:proofErr w:type="gramStart"/>
      <w:r w:rsidRPr="00210DBE">
        <w:rPr>
          <w:rFonts w:ascii="Arial" w:hAnsi="Arial" w:cs="Arial"/>
          <w:sz w:val="22"/>
          <w:szCs w:val="22"/>
        </w:rPr>
        <w:t>snack</w:t>
      </w:r>
      <w:proofErr w:type="gramEnd"/>
      <w:r w:rsidRPr="00210DBE">
        <w:rPr>
          <w:rFonts w:ascii="Arial" w:hAnsi="Arial" w:cs="Arial"/>
          <w:sz w:val="22"/>
          <w:szCs w:val="22"/>
        </w:rPr>
        <w:t xml:space="preserve"> they are encouraged to place their plates and cups into a bowl for washing.</w:t>
      </w:r>
    </w:p>
    <w:p w14:paraId="2569DCB1" w14:textId="77777777" w:rsidR="00210DBE" w:rsidRPr="00210DBE" w:rsidRDefault="00210DB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C505F29" w14:textId="0955389F" w:rsidR="00CE593D" w:rsidRPr="00210DBE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210DBE">
        <w:rPr>
          <w:rFonts w:ascii="Arial" w:hAnsi="Arial" w:cs="Arial"/>
          <w:b/>
          <w:bCs/>
          <w:sz w:val="22"/>
          <w:szCs w:val="22"/>
        </w:rPr>
        <w:t>Packed lunches</w:t>
      </w:r>
    </w:p>
    <w:p w14:paraId="6841073E" w14:textId="5EA62DD5" w:rsidR="00167887" w:rsidRPr="00210DBE" w:rsidRDefault="00EA3D7E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210DBE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210DBE">
        <w:rPr>
          <w:rFonts w:ascii="Arial" w:hAnsi="Arial" w:cs="Arial"/>
          <w:bCs/>
          <w:sz w:val="22"/>
          <w:szCs w:val="22"/>
        </w:rPr>
        <w:t>,</w:t>
      </w:r>
      <w:r w:rsidRPr="00210DBE">
        <w:rPr>
          <w:rFonts w:ascii="Arial" w:hAnsi="Arial" w:cs="Arial"/>
          <w:bCs/>
          <w:sz w:val="22"/>
          <w:szCs w:val="22"/>
        </w:rPr>
        <w:t xml:space="preserve"> staff promote healthy eating, ensuring that parents</w:t>
      </w:r>
      <w:r w:rsidR="00093981" w:rsidRPr="00210DBE">
        <w:rPr>
          <w:rFonts w:ascii="Arial" w:hAnsi="Arial" w:cs="Arial"/>
          <w:bCs/>
          <w:sz w:val="22"/>
          <w:szCs w:val="22"/>
        </w:rPr>
        <w:t>/carers</w:t>
      </w:r>
      <w:r w:rsidRPr="00210DBE">
        <w:rPr>
          <w:rFonts w:ascii="Arial" w:hAnsi="Arial" w:cs="Arial"/>
          <w:bCs/>
          <w:sz w:val="22"/>
          <w:szCs w:val="22"/>
        </w:rPr>
        <w:t xml:space="preserve"> are given advice and information about what is appropr</w:t>
      </w:r>
      <w:r w:rsidR="00A8104F" w:rsidRPr="00210DBE">
        <w:rPr>
          <w:rFonts w:ascii="Arial" w:hAnsi="Arial" w:cs="Arial"/>
          <w:bCs/>
          <w:sz w:val="22"/>
          <w:szCs w:val="22"/>
        </w:rPr>
        <w:t xml:space="preserve">iate content for </w:t>
      </w:r>
      <w:r w:rsidRPr="00210DBE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210DBE">
        <w:rPr>
          <w:rFonts w:ascii="Arial" w:hAnsi="Arial" w:cs="Arial"/>
          <w:bCs/>
          <w:sz w:val="22"/>
          <w:szCs w:val="22"/>
        </w:rPr>
        <w:t xml:space="preserve"> Parents</w:t>
      </w:r>
      <w:r w:rsidR="00093981" w:rsidRPr="00210DBE">
        <w:rPr>
          <w:rFonts w:ascii="Arial" w:hAnsi="Arial" w:cs="Arial"/>
          <w:bCs/>
          <w:sz w:val="22"/>
          <w:szCs w:val="22"/>
        </w:rPr>
        <w:t>/carers</w:t>
      </w:r>
      <w:r w:rsidR="004E7A19" w:rsidRPr="00210DBE">
        <w:rPr>
          <w:rFonts w:ascii="Arial" w:hAnsi="Arial" w:cs="Arial"/>
          <w:bCs/>
          <w:sz w:val="22"/>
          <w:szCs w:val="22"/>
        </w:rPr>
        <w:t xml:space="preserve"> are also advised to take measures to ensure children’s lunch box contents remain cool i.e. ice packs, as the setting may not have facilities for refrigerated storage</w:t>
      </w:r>
      <w:r w:rsidR="00601EB7" w:rsidRPr="00210DBE">
        <w:rPr>
          <w:rFonts w:ascii="Arial" w:hAnsi="Arial" w:cs="Arial"/>
          <w:bCs/>
          <w:sz w:val="22"/>
          <w:szCs w:val="22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25"/>
        <w:gridCol w:w="3168"/>
        <w:gridCol w:w="2173"/>
      </w:tblGrid>
      <w:tr w:rsidR="00167887" w:rsidRPr="00210DBE" w14:paraId="452946BF" w14:textId="77777777" w:rsidTr="0011214D">
        <w:tc>
          <w:tcPr>
            <w:tcW w:w="5352" w:type="dxa"/>
          </w:tcPr>
          <w:p w14:paraId="47E03A9B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352208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1673898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F2CEBA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10DBE">
              <w:rPr>
                <w:rFonts w:ascii="Arial" w:hAnsi="Arial" w:cs="Arial"/>
                <w:sz w:val="22"/>
                <w:szCs w:val="22"/>
              </w:rPr>
              <w:t>This policy was adopted by</w:t>
            </w:r>
          </w:p>
        </w:tc>
        <w:tc>
          <w:tcPr>
            <w:tcW w:w="3334" w:type="dxa"/>
            <w:tcBorders>
              <w:bottom w:val="single" w:sz="4" w:space="0" w:color="7030A0"/>
            </w:tcBorders>
          </w:tcPr>
          <w:p w14:paraId="60F17D8E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</w:tcPr>
          <w:p w14:paraId="2B6AA7A6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5AE56D5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C4606D0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58046CF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210DBE">
              <w:rPr>
                <w:rFonts w:ascii="Arial" w:hAnsi="Arial" w:cs="Arial"/>
                <w:i/>
                <w:sz w:val="22"/>
                <w:szCs w:val="22"/>
              </w:rPr>
              <w:t>(name of provider)</w:t>
            </w:r>
          </w:p>
        </w:tc>
      </w:tr>
      <w:tr w:rsidR="00167887" w:rsidRPr="00210DBE" w14:paraId="1E848EDE" w14:textId="77777777" w:rsidTr="0011214D">
        <w:tc>
          <w:tcPr>
            <w:tcW w:w="5352" w:type="dxa"/>
          </w:tcPr>
          <w:p w14:paraId="5B8BD52B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10DBE"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</w:tcPr>
          <w:p w14:paraId="1E7DACE9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</w:tcPr>
          <w:p w14:paraId="565F3BC3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210DBE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167887" w:rsidRPr="00210DBE" w14:paraId="460340B2" w14:textId="77777777" w:rsidTr="0011214D">
        <w:tc>
          <w:tcPr>
            <w:tcW w:w="5352" w:type="dxa"/>
          </w:tcPr>
          <w:p w14:paraId="5E69AB1F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10DBE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</w:tcPr>
          <w:p w14:paraId="16D6A140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</w:tcPr>
          <w:p w14:paraId="42F4D7B0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210DBE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167887" w:rsidRPr="00210DBE" w14:paraId="0E9A6526" w14:textId="77777777" w:rsidTr="0011214D">
        <w:tc>
          <w:tcPr>
            <w:tcW w:w="5352" w:type="dxa"/>
          </w:tcPr>
          <w:p w14:paraId="05D5CAA1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10DBE">
              <w:rPr>
                <w:rFonts w:ascii="Arial" w:hAnsi="Arial" w:cs="Arial"/>
                <w:sz w:val="22"/>
                <w:szCs w:val="22"/>
              </w:rPr>
              <w:t>Signed on behalf of the provider</w:t>
            </w:r>
          </w:p>
        </w:tc>
        <w:tc>
          <w:tcPr>
            <w:tcW w:w="3334" w:type="dxa"/>
            <w:gridSpan w:val="2"/>
            <w:tcBorders>
              <w:bottom w:val="single" w:sz="4" w:space="0" w:color="7030A0"/>
            </w:tcBorders>
          </w:tcPr>
          <w:p w14:paraId="75CB2D6B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87" w:rsidRPr="00210DBE" w14:paraId="7CB1D648" w14:textId="77777777" w:rsidTr="0011214D">
        <w:tblPrEx>
          <w:tblLook w:val="04A0" w:firstRow="1" w:lastRow="0" w:firstColumn="1" w:lastColumn="0" w:noHBand="0" w:noVBand="1"/>
        </w:tblPrEx>
        <w:tc>
          <w:tcPr>
            <w:tcW w:w="5352" w:type="dxa"/>
          </w:tcPr>
          <w:p w14:paraId="54271F45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10DBE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bottom w:val="single" w:sz="4" w:space="0" w:color="7030A0"/>
            </w:tcBorders>
          </w:tcPr>
          <w:p w14:paraId="7BE78A4E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87" w:rsidRPr="00210DBE" w14:paraId="45111C32" w14:textId="77777777" w:rsidTr="0011214D">
        <w:tblPrEx>
          <w:tblLook w:val="04A0" w:firstRow="1" w:lastRow="0" w:firstColumn="1" w:lastColumn="0" w:noHBand="0" w:noVBand="1"/>
        </w:tblPrEx>
        <w:tc>
          <w:tcPr>
            <w:tcW w:w="5352" w:type="dxa"/>
          </w:tcPr>
          <w:p w14:paraId="4D76836A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10DBE">
              <w:rPr>
                <w:rFonts w:ascii="Arial" w:hAnsi="Arial" w:cs="Arial"/>
                <w:sz w:val="22"/>
                <w:szCs w:val="22"/>
              </w:rPr>
              <w:t>Role of signatory (e.g. chair, director or owner)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bottom w:val="single" w:sz="4" w:space="0" w:color="7030A0"/>
            </w:tcBorders>
          </w:tcPr>
          <w:p w14:paraId="569C4BB4" w14:textId="77777777" w:rsidR="00167887" w:rsidRPr="00210DBE" w:rsidRDefault="00167887" w:rsidP="00112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01630E" w14:textId="77777777" w:rsidR="00167887" w:rsidRPr="00210DBE" w:rsidRDefault="00167887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167887" w:rsidRPr="00210DBE" w:rsidSect="006813B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615C" w14:textId="77777777" w:rsidR="000D7A0C" w:rsidRDefault="000D7A0C" w:rsidP="00327B06">
      <w:r>
        <w:separator/>
      </w:r>
    </w:p>
  </w:endnote>
  <w:endnote w:type="continuationSeparator" w:id="0">
    <w:p w14:paraId="67BB5D2C" w14:textId="77777777" w:rsidR="000D7A0C" w:rsidRDefault="000D7A0C" w:rsidP="00327B06">
      <w:r>
        <w:continuationSeparator/>
      </w:r>
    </w:p>
  </w:endnote>
  <w:endnote w:type="continuationNotice" w:id="1">
    <w:p w14:paraId="02452317" w14:textId="77777777" w:rsidR="000D7A0C" w:rsidRDefault="000D7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314" w14:textId="40A8213D" w:rsidR="00AD619B" w:rsidRPr="009D0364" w:rsidRDefault="634B2577" w:rsidP="634B2577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4B257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241D" w14:textId="77777777" w:rsidR="000D7A0C" w:rsidRDefault="000D7A0C" w:rsidP="00327B06">
      <w:r>
        <w:separator/>
      </w:r>
    </w:p>
  </w:footnote>
  <w:footnote w:type="continuationSeparator" w:id="0">
    <w:p w14:paraId="04A30E60" w14:textId="77777777" w:rsidR="000D7A0C" w:rsidRDefault="000D7A0C" w:rsidP="00327B06">
      <w:r>
        <w:continuationSeparator/>
      </w:r>
    </w:p>
  </w:footnote>
  <w:footnote w:type="continuationNotice" w:id="1">
    <w:p w14:paraId="71E47B1B" w14:textId="77777777" w:rsidR="000D7A0C" w:rsidRDefault="000D7A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16B" w14:textId="77777777" w:rsidR="00167887" w:rsidRPr="00167887" w:rsidRDefault="00167887" w:rsidP="0016788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</w:rPr>
    </w:pPr>
    <w:r w:rsidRPr="00167887">
      <w:rPr>
        <w:b/>
        <w:bCs/>
      </w:rPr>
      <w:t>SOUTH WOODHAM PRESCHOOL</w:t>
    </w:r>
  </w:p>
  <w:p w14:paraId="23C8AC6A" w14:textId="77777777" w:rsidR="00167887" w:rsidRPr="00167887" w:rsidRDefault="00167887" w:rsidP="0016788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</w:rPr>
    </w:pPr>
  </w:p>
  <w:p w14:paraId="648B307A" w14:textId="736AF9EC" w:rsidR="00167887" w:rsidRPr="00167887" w:rsidRDefault="00167887" w:rsidP="0016788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</w:rPr>
    </w:pPr>
    <w:r>
      <w:rPr>
        <w:b/>
        <w:bCs/>
      </w:rPr>
      <w:t>SNACK PLANNING &amp; NUTRITION</w:t>
    </w:r>
    <w:r w:rsidRPr="00167887">
      <w:rPr>
        <w:b/>
        <w:bCs/>
      </w:rPr>
      <w:t xml:space="preserve"> POLICY</w:t>
    </w:r>
  </w:p>
  <w:p w14:paraId="163304E6" w14:textId="77777777" w:rsidR="00747D7D" w:rsidRPr="00167887" w:rsidRDefault="00747D7D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90296">
    <w:abstractNumId w:val="3"/>
  </w:num>
  <w:num w:numId="2" w16cid:durableId="24645538">
    <w:abstractNumId w:val="19"/>
  </w:num>
  <w:num w:numId="3" w16cid:durableId="723023841">
    <w:abstractNumId w:val="5"/>
  </w:num>
  <w:num w:numId="4" w16cid:durableId="127207961">
    <w:abstractNumId w:val="1"/>
  </w:num>
  <w:num w:numId="5" w16cid:durableId="1331442633">
    <w:abstractNumId w:val="2"/>
  </w:num>
  <w:num w:numId="6" w16cid:durableId="265306250">
    <w:abstractNumId w:val="8"/>
  </w:num>
  <w:num w:numId="7" w16cid:durableId="73859720">
    <w:abstractNumId w:val="20"/>
  </w:num>
  <w:num w:numId="8" w16cid:durableId="1437403121">
    <w:abstractNumId w:val="4"/>
  </w:num>
  <w:num w:numId="9" w16cid:durableId="1796832653">
    <w:abstractNumId w:val="0"/>
  </w:num>
  <w:num w:numId="10" w16cid:durableId="2138255925">
    <w:abstractNumId w:val="12"/>
  </w:num>
  <w:num w:numId="11" w16cid:durableId="2100444370">
    <w:abstractNumId w:val="18"/>
    <w:lvlOverride w:ilvl="0">
      <w:startOverride w:val="1"/>
    </w:lvlOverride>
  </w:num>
  <w:num w:numId="12" w16cid:durableId="1939023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761200">
    <w:abstractNumId w:val="11"/>
    <w:lvlOverride w:ilvl="0">
      <w:startOverride w:val="1"/>
    </w:lvlOverride>
  </w:num>
  <w:num w:numId="14" w16cid:durableId="100877652">
    <w:abstractNumId w:val="16"/>
  </w:num>
  <w:num w:numId="15" w16cid:durableId="77505297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508481">
    <w:abstractNumId w:val="6"/>
  </w:num>
  <w:num w:numId="17" w16cid:durableId="553322392">
    <w:abstractNumId w:val="9"/>
  </w:num>
  <w:num w:numId="18" w16cid:durableId="156043942">
    <w:abstractNumId w:val="21"/>
  </w:num>
  <w:num w:numId="19" w16cid:durableId="500631562">
    <w:abstractNumId w:val="17"/>
  </w:num>
  <w:num w:numId="20" w16cid:durableId="24331284">
    <w:abstractNumId w:val="22"/>
  </w:num>
  <w:num w:numId="21" w16cid:durableId="426972011">
    <w:abstractNumId w:val="15"/>
  </w:num>
  <w:num w:numId="22" w16cid:durableId="1960840496">
    <w:abstractNumId w:val="13"/>
  </w:num>
  <w:num w:numId="23" w16cid:durableId="482963550">
    <w:abstractNumId w:val="7"/>
  </w:num>
  <w:num w:numId="24" w16cid:durableId="1850171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433F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93981"/>
    <w:rsid w:val="000A4E62"/>
    <w:rsid w:val="000A5D27"/>
    <w:rsid w:val="000A60F9"/>
    <w:rsid w:val="000A73AB"/>
    <w:rsid w:val="000B1FF4"/>
    <w:rsid w:val="000B2DB5"/>
    <w:rsid w:val="000B6AF3"/>
    <w:rsid w:val="000C18B8"/>
    <w:rsid w:val="000D0F33"/>
    <w:rsid w:val="000D3F29"/>
    <w:rsid w:val="000D749B"/>
    <w:rsid w:val="000D7A0C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67887"/>
    <w:rsid w:val="001716D8"/>
    <w:rsid w:val="0017616F"/>
    <w:rsid w:val="00194E87"/>
    <w:rsid w:val="001A716E"/>
    <w:rsid w:val="001B7C8D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0DBE"/>
    <w:rsid w:val="002136EF"/>
    <w:rsid w:val="002333A1"/>
    <w:rsid w:val="00244618"/>
    <w:rsid w:val="00252A5B"/>
    <w:rsid w:val="0026168E"/>
    <w:rsid w:val="0027303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76A23"/>
    <w:rsid w:val="00382ED2"/>
    <w:rsid w:val="00386034"/>
    <w:rsid w:val="00390D24"/>
    <w:rsid w:val="003928E6"/>
    <w:rsid w:val="003B080A"/>
    <w:rsid w:val="003C7584"/>
    <w:rsid w:val="003D0F18"/>
    <w:rsid w:val="003D44FF"/>
    <w:rsid w:val="003D4CDD"/>
    <w:rsid w:val="003D7B76"/>
    <w:rsid w:val="003E077C"/>
    <w:rsid w:val="003E58F3"/>
    <w:rsid w:val="003EE8ED"/>
    <w:rsid w:val="003F3AD7"/>
    <w:rsid w:val="003F789B"/>
    <w:rsid w:val="0040461C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37434"/>
    <w:rsid w:val="00642B2F"/>
    <w:rsid w:val="0065488A"/>
    <w:rsid w:val="00660701"/>
    <w:rsid w:val="006700CE"/>
    <w:rsid w:val="006800F0"/>
    <w:rsid w:val="006813BB"/>
    <w:rsid w:val="006868E3"/>
    <w:rsid w:val="0069372B"/>
    <w:rsid w:val="00696B87"/>
    <w:rsid w:val="006A400D"/>
    <w:rsid w:val="006C2579"/>
    <w:rsid w:val="006C47AE"/>
    <w:rsid w:val="006D28B0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47D7D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2740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49B0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364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228C4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1E38"/>
    <w:rsid w:val="00AD619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569CC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CF714D"/>
    <w:rsid w:val="00D0330C"/>
    <w:rsid w:val="00D038EA"/>
    <w:rsid w:val="00D1127F"/>
    <w:rsid w:val="00D1427A"/>
    <w:rsid w:val="00D20DAC"/>
    <w:rsid w:val="00D228BB"/>
    <w:rsid w:val="00D42668"/>
    <w:rsid w:val="00D67319"/>
    <w:rsid w:val="00D72995"/>
    <w:rsid w:val="00D752DB"/>
    <w:rsid w:val="00D840F3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32D9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1B9A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589B033"/>
    <w:rsid w:val="06CA8DCB"/>
    <w:rsid w:val="07EA6E8E"/>
    <w:rsid w:val="0C16A66E"/>
    <w:rsid w:val="0D430BCB"/>
    <w:rsid w:val="116F2CC8"/>
    <w:rsid w:val="12DEDD26"/>
    <w:rsid w:val="1341EF8B"/>
    <w:rsid w:val="18154448"/>
    <w:rsid w:val="18F0D73C"/>
    <w:rsid w:val="1BF02F5D"/>
    <w:rsid w:val="1D25E131"/>
    <w:rsid w:val="29C67912"/>
    <w:rsid w:val="2B685EAF"/>
    <w:rsid w:val="2D15694E"/>
    <w:rsid w:val="37836263"/>
    <w:rsid w:val="460637C0"/>
    <w:rsid w:val="46C5E9B4"/>
    <w:rsid w:val="47139328"/>
    <w:rsid w:val="47735E00"/>
    <w:rsid w:val="5232CF2A"/>
    <w:rsid w:val="5C48A629"/>
    <w:rsid w:val="5F786AC0"/>
    <w:rsid w:val="60ECA934"/>
    <w:rsid w:val="634B2577"/>
    <w:rsid w:val="67196878"/>
    <w:rsid w:val="761CEB14"/>
    <w:rsid w:val="7C2D6F2E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B9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FFFAE-23C8-4D7B-A19C-07898A44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User</cp:lastModifiedBy>
  <cp:revision>3</cp:revision>
  <cp:lastPrinted>2025-09-09T09:55:00Z</cp:lastPrinted>
  <dcterms:created xsi:type="dcterms:W3CDTF">2025-09-09T09:54:00Z</dcterms:created>
  <dcterms:modified xsi:type="dcterms:W3CDTF">2025-09-09T10:06:00Z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