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E41F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b/>
          <w:color w:val="000000" w:themeColor="text1"/>
          <w:sz w:val="22"/>
          <w:szCs w:val="22"/>
        </w:rPr>
        <w:t>General</w:t>
      </w:r>
    </w:p>
    <w:p w14:paraId="0A5F20C1" w14:textId="77777777" w:rsidR="007D369C" w:rsidRPr="00816F4A" w:rsidRDefault="007D369C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All staff have up to date certificated training on food safety.</w:t>
      </w:r>
    </w:p>
    <w:p w14:paraId="7E783505" w14:textId="77777777" w:rsidR="007D369C" w:rsidRPr="00816F4A" w:rsidRDefault="007D369C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All staff responsible for preparing food refer </w:t>
      </w:r>
      <w:proofErr w:type="gramStart"/>
      <w:r w:rsidRPr="00816F4A">
        <w:rPr>
          <w:rFonts w:ascii="Arial" w:hAnsi="Arial" w:cs="Arial"/>
          <w:color w:val="000000" w:themeColor="text1"/>
          <w:sz w:val="22"/>
          <w:szCs w:val="22"/>
        </w:rPr>
        <w:t>to  Early</w:t>
      </w:r>
      <w:proofErr w:type="gramEnd"/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 Years Foundation Stage Nutrition Guidance (2025) which contains guidance on menu planning, food safety, managing food allergies and reading food labels.</w:t>
      </w:r>
    </w:p>
    <w:p w14:paraId="649707C3" w14:textId="77777777" w:rsidR="007D369C" w:rsidRPr="00816F4A" w:rsidRDefault="007D369C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The setting manager is responsible for ensuring that the requirements in Safer Food Better Business are implemented.</w:t>
      </w:r>
    </w:p>
    <w:p w14:paraId="1111A2ED" w14:textId="77777777" w:rsidR="007D369C" w:rsidRPr="00816F4A" w:rsidRDefault="007D369C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All staff responsible for preparing food have undertaken the Food Allergy Online Training CPD module available at </w:t>
      </w:r>
      <w:hyperlink r:id="rId8" w:history="1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http://allergytraining.food.gov.uk/</w:t>
        </w:r>
      </w:hyperlink>
      <w:r w:rsidRPr="00816F4A">
        <w:rPr>
          <w:rStyle w:val="Hyperlink"/>
          <w:rFonts w:ascii="Arial" w:eastAsiaTheme="majorEastAsia" w:hAnsi="Arial" w:cs="Arial"/>
          <w:color w:val="000000" w:themeColor="text1"/>
          <w:sz w:val="22"/>
          <w:szCs w:val="22"/>
        </w:rPr>
        <w:t>.</w:t>
      </w:r>
    </w:p>
    <w:p w14:paraId="6CA424D4" w14:textId="77777777" w:rsidR="007D369C" w:rsidRPr="00816F4A" w:rsidRDefault="007D369C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The setting manager is responsible for overseeing the work of the cook and all food handlers to ensure hygiene and allergy procedures are complied with.</w:t>
      </w:r>
    </w:p>
    <w:p w14:paraId="7025C4D6" w14:textId="77777777" w:rsidR="007D369C" w:rsidRPr="00816F4A" w:rsidRDefault="007D369C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The setting manager has responsibility for conducting risk assessment based on the ‘Hazard Analysis and Critical Control Point’ method set out in Safer Food Better Business.</w:t>
      </w:r>
    </w:p>
    <w:p w14:paraId="73FD2E44" w14:textId="6989A880" w:rsidR="007D369C" w:rsidRPr="00816F4A" w:rsidRDefault="00E70EC2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Supervisors</w:t>
      </w:r>
      <w:r w:rsidR="007D369C" w:rsidRPr="00816F4A">
        <w:rPr>
          <w:rFonts w:ascii="Arial" w:hAnsi="Arial" w:cs="Arial"/>
          <w:color w:val="000000" w:themeColor="text1"/>
          <w:sz w:val="22"/>
          <w:szCs w:val="22"/>
        </w:rPr>
        <w:t xml:space="preserve"> carry out and record daily opening/closing checks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E4CF87" w14:textId="5F195BFD" w:rsidR="007D369C" w:rsidRPr="00816F4A" w:rsidRDefault="00E70EC2" w:rsidP="007D369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S</w:t>
      </w:r>
      <w:r w:rsidR="007D369C" w:rsidRPr="00816F4A">
        <w:rPr>
          <w:rFonts w:ascii="Arial" w:hAnsi="Arial" w:cs="Arial"/>
          <w:color w:val="000000" w:themeColor="text1"/>
          <w:sz w:val="22"/>
          <w:szCs w:val="22"/>
        </w:rPr>
        <w:t>etting manager maintain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>s</w:t>
      </w:r>
      <w:r w:rsidR="007D369C" w:rsidRPr="00816F4A">
        <w:rPr>
          <w:rFonts w:ascii="Arial" w:hAnsi="Arial" w:cs="Arial"/>
          <w:color w:val="000000" w:themeColor="text1"/>
          <w:sz w:val="22"/>
          <w:szCs w:val="22"/>
        </w:rPr>
        <w:t xml:space="preserve"> a Food Allergy and Dietary Needs 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>record</w:t>
      </w:r>
      <w:r w:rsidR="007D369C" w:rsidRPr="00816F4A">
        <w:rPr>
          <w:rFonts w:ascii="Arial" w:hAnsi="Arial" w:cs="Arial"/>
          <w:color w:val="000000" w:themeColor="text1"/>
          <w:sz w:val="22"/>
          <w:szCs w:val="22"/>
        </w:rPr>
        <w:t xml:space="preserve"> with:</w:t>
      </w:r>
    </w:p>
    <w:p w14:paraId="2EFA4C61" w14:textId="2EAD4C90" w:rsidR="007D369C" w:rsidRPr="00816F4A" w:rsidRDefault="007D369C" w:rsidP="007D369C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a list of all children with known food allergies, intolerances or dietary needs updated at least once a term (the personal/medical details about the allergy or dietary needs </w:t>
      </w:r>
      <w:r w:rsidR="007D6B1F" w:rsidRPr="00816F4A">
        <w:rPr>
          <w:rFonts w:ascii="Arial" w:hAnsi="Arial" w:cs="Arial"/>
          <w:color w:val="000000" w:themeColor="text1"/>
          <w:sz w:val="22"/>
          <w:szCs w:val="22"/>
        </w:rPr>
        <w:t>are displayed in the kitchen.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 This is displayed for all staff and the risk assessment shared.</w:t>
      </w:r>
    </w:p>
    <w:p w14:paraId="5350F303" w14:textId="63E16970" w:rsidR="007D369C" w:rsidRPr="00816F4A" w:rsidRDefault="007D369C" w:rsidP="007D369C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a record of food menus along with any allergens</w:t>
      </w:r>
      <w:r w:rsidR="007D6B1F" w:rsidRPr="00816F4A">
        <w:rPr>
          <w:rFonts w:ascii="Arial" w:hAnsi="Arial" w:cs="Arial"/>
          <w:color w:val="000000" w:themeColor="text1"/>
          <w:sz w:val="22"/>
          <w:szCs w:val="22"/>
        </w:rPr>
        <w:t xml:space="preserve"> are listed in our half termly newsletter and displayed in the kitchen.</w:t>
      </w:r>
    </w:p>
    <w:p w14:paraId="6387A8C2" w14:textId="77777777" w:rsidR="007D369C" w:rsidRPr="00816F4A" w:rsidRDefault="007D369C" w:rsidP="007D369C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Style w:val="Hyperlink"/>
          <w:rFonts w:ascii="Arial" w:eastAsiaTheme="majorEastAsia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a copy of the FSA booklet ‘Allergen information for pre-packed and loose foods’ available at </w:t>
      </w:r>
      <w:hyperlink r:id="rId9" w:history="1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https://www.food.gov.uk/business-guidance/allergen-information-for-pre-packed-and-loose-foods</w:t>
        </w:r>
      </w:hyperlink>
    </w:p>
    <w:p w14:paraId="530B58FF" w14:textId="4C22A932" w:rsidR="00C82CD2" w:rsidRPr="00816F4A" w:rsidRDefault="007D369C" w:rsidP="007D369C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Food Allergy </w:t>
      </w:r>
      <w:r w:rsidR="00C82CD2" w:rsidRPr="00816F4A">
        <w:rPr>
          <w:rFonts w:ascii="Arial" w:hAnsi="Arial" w:cs="Arial"/>
          <w:color w:val="000000" w:themeColor="text1"/>
          <w:sz w:val="22"/>
          <w:szCs w:val="22"/>
        </w:rPr>
        <w:t xml:space="preserve">Awareness for the Early Years 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>Online Trainin</w:t>
      </w:r>
      <w:r w:rsidR="00C82CD2" w:rsidRPr="00816F4A">
        <w:rPr>
          <w:rFonts w:ascii="Arial" w:hAnsi="Arial" w:cs="Arial"/>
          <w:color w:val="000000" w:themeColor="text1"/>
          <w:sz w:val="22"/>
          <w:szCs w:val="22"/>
        </w:rPr>
        <w:t>g has been completed by all staff members.</w:t>
      </w:r>
    </w:p>
    <w:p w14:paraId="58876658" w14:textId="3FC2B7FC" w:rsidR="007D369C" w:rsidRPr="00816F4A" w:rsidRDefault="007D369C" w:rsidP="007D369C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The setting manager is responsible for </w:t>
      </w:r>
      <w:r w:rsidR="00C82CD2" w:rsidRPr="00816F4A">
        <w:rPr>
          <w:rFonts w:ascii="Arial" w:hAnsi="Arial" w:cs="Arial"/>
          <w:color w:val="000000" w:themeColor="text1"/>
          <w:sz w:val="22"/>
          <w:szCs w:val="22"/>
        </w:rPr>
        <w:t xml:space="preserve">reporting 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>to Ofsted of any food poisoning affecting two or more children looked after on the premises. Notification must be made as soon as possible and within 14 days of the incident.</w:t>
      </w:r>
    </w:p>
    <w:p w14:paraId="5D6E279E" w14:textId="77777777" w:rsidR="007D369C" w:rsidRPr="00816F4A" w:rsidRDefault="007D369C" w:rsidP="007D369C">
      <w:pPr>
        <w:pStyle w:val="Heading1"/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b/>
          <w:bCs/>
          <w:color w:val="000000" w:themeColor="text1"/>
          <w:sz w:val="22"/>
          <w:szCs w:val="22"/>
        </w:rPr>
        <w:t>Purchasing and storing food</w:t>
      </w:r>
    </w:p>
    <w:p w14:paraId="65F2B695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Food is purchased from reputable suppliers.</w:t>
      </w:r>
    </w:p>
    <w:p w14:paraId="2B535855" w14:textId="5BC06901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Pre-packed food (any food or ingredient that is made by one business and sold by another such as a retailer or caterer) is checked for allergen ingredients and this information is communicated to parents alongside menu information.</w:t>
      </w:r>
    </w:p>
    <w:p w14:paraId="3770856D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lastRenderedPageBreak/>
        <w:t>If food that is not pre-packed (described as ‘loose food’), such as sandwiches bought from a bakery is served, then allergen information will have been provided by the retailer, this information must then be shared in the same way with parents.</w:t>
      </w:r>
    </w:p>
    <w:p w14:paraId="72BB8A8D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Parents/carers are requested not to bring food that contains (or may contain) nuts. Staff check packets to make sure they do not contain nuts or nut products.</w:t>
      </w:r>
    </w:p>
    <w:p w14:paraId="1FBF28E7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Bulk buy is avoided where food may go out of date before use.</w:t>
      </w:r>
    </w:p>
    <w:p w14:paraId="0390EC21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All opened dried food stuffs are stored in airtight containers.</w:t>
      </w:r>
    </w:p>
    <w:p w14:paraId="69BF6908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Dried packaged food is not decanted from packaging into large bins or containers as this prevents monitoring of sell by/use by dates and allergen information.</w:t>
      </w:r>
    </w:p>
    <w:p w14:paraId="6F2D36D6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Food is regularly checked for sell by/use by dates and any expired items are discarded.</w:t>
      </w:r>
    </w:p>
    <w:p w14:paraId="349DB544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Bottles and jars are cleaned before returning to the cupboards.</w:t>
      </w:r>
    </w:p>
    <w:p w14:paraId="25A479DD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Items are not stored on the floor; floors are kept clear so they can be easily swept.</w:t>
      </w:r>
    </w:p>
    <w:p w14:paraId="31E3CD81" w14:textId="140CCBE0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Perishable foods such as dairy produce</w:t>
      </w:r>
      <w:r w:rsidR="00C82CD2" w:rsidRPr="00816F4A">
        <w:rPr>
          <w:rFonts w:ascii="Arial" w:hAnsi="Arial" w:cs="Arial"/>
          <w:color w:val="000000" w:themeColor="text1"/>
          <w:sz w:val="22"/>
          <w:szCs w:val="22"/>
        </w:rPr>
        <w:t xml:space="preserve"> are labelled with date opened and use by date.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 Soft fruit and easily perishable vegetables are kept in the fridge at 1- 5 Celsius.</w:t>
      </w:r>
    </w:p>
    <w:p w14:paraId="56ADC01B" w14:textId="03FCF559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Fridge and freezer thermometers should be in place. Recommended temperatures for fridge 37 degrees Fahrenheit (3 degrees Celsius)</w:t>
      </w:r>
      <w:r w:rsidR="00C82CD2" w:rsidRPr="00816F4A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Temperatures must be recorded daily to ensure correct temperatures are being maintained. </w:t>
      </w:r>
    </w:p>
    <w:p w14:paraId="457316DE" w14:textId="7B36E29B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Staff’s own food or drink should be kept in separate designated area of the fridge</w:t>
      </w:r>
      <w:r w:rsidR="00C82CD2" w:rsidRPr="00816F4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410CAD" w14:textId="77777777" w:rsidR="007D369C" w:rsidRPr="00816F4A" w:rsidRDefault="007D369C" w:rsidP="007D369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Items in fridges must be regularly checked to ensure they are not past use by dates.</w:t>
      </w:r>
    </w:p>
    <w:p w14:paraId="3990345F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b/>
          <w:color w:val="000000" w:themeColor="text1"/>
          <w:sz w:val="22"/>
          <w:szCs w:val="22"/>
        </w:rPr>
        <w:t>Preparation of food</w:t>
      </w:r>
    </w:p>
    <w:p w14:paraId="6C35ED29" w14:textId="77777777" w:rsidR="007D369C" w:rsidRPr="00816F4A" w:rsidRDefault="007D369C" w:rsidP="007D369C">
      <w:pPr>
        <w:pStyle w:val="PlainText"/>
        <w:numPr>
          <w:ilvl w:val="0"/>
          <w:numId w:val="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Cs w:val="22"/>
        </w:rPr>
      </w:pPr>
      <w:r w:rsidRPr="00816F4A">
        <w:rPr>
          <w:rFonts w:ascii="Arial" w:hAnsi="Arial" w:cs="Arial"/>
          <w:color w:val="000000" w:themeColor="text1"/>
          <w:szCs w:val="22"/>
        </w:rPr>
        <w:t xml:space="preserve">Food handlers must check the content of food/packets to ensure they do not contain allergens. </w:t>
      </w:r>
    </w:p>
    <w:p w14:paraId="6BD83720" w14:textId="21330C0E" w:rsidR="007D369C" w:rsidRPr="00816F4A" w:rsidRDefault="007D369C" w:rsidP="007D369C">
      <w:pPr>
        <w:pStyle w:val="PlainText"/>
        <w:numPr>
          <w:ilvl w:val="0"/>
          <w:numId w:val="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Cs w:val="22"/>
        </w:rPr>
      </w:pPr>
      <w:r w:rsidRPr="00816F4A">
        <w:rPr>
          <w:rFonts w:ascii="Arial" w:hAnsi="Arial" w:cs="Arial"/>
          <w:color w:val="000000" w:themeColor="text1"/>
          <w:szCs w:val="22"/>
        </w:rPr>
        <w:t xml:space="preserve">Food allergens must be identified on the menus and displayed </w:t>
      </w:r>
      <w:r w:rsidR="00C82CD2" w:rsidRPr="00816F4A">
        <w:rPr>
          <w:rFonts w:ascii="Arial" w:hAnsi="Arial" w:cs="Arial"/>
          <w:color w:val="000000" w:themeColor="text1"/>
          <w:szCs w:val="22"/>
        </w:rPr>
        <w:t>in our half termly newsletter</w:t>
      </w:r>
      <w:r w:rsidRPr="00816F4A">
        <w:rPr>
          <w:rFonts w:ascii="Arial" w:hAnsi="Arial" w:cs="Arial"/>
          <w:color w:val="000000" w:themeColor="text1"/>
          <w:szCs w:val="22"/>
        </w:rPr>
        <w:t>.</w:t>
      </w:r>
    </w:p>
    <w:p w14:paraId="60C7C2EE" w14:textId="77777777" w:rsidR="007D369C" w:rsidRPr="00816F4A" w:rsidRDefault="007D369C" w:rsidP="007D369C">
      <w:pPr>
        <w:numPr>
          <w:ilvl w:val="0"/>
          <w:numId w:val="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Food handlers wash hands and cover any cuts or abrasions before handling food.</w:t>
      </w:r>
    </w:p>
    <w:p w14:paraId="538D7ECA" w14:textId="77777777" w:rsidR="007D369C" w:rsidRPr="00816F4A" w:rsidRDefault="007D369C" w:rsidP="007D369C">
      <w:pPr>
        <w:numPr>
          <w:ilvl w:val="0"/>
          <w:numId w:val="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All vegetables and fruit are washed before preparing.</w:t>
      </w:r>
    </w:p>
    <w:p w14:paraId="7645F780" w14:textId="77777777" w:rsidR="007D369C" w:rsidRPr="00816F4A" w:rsidRDefault="007D369C" w:rsidP="007D369C">
      <w:pPr>
        <w:numPr>
          <w:ilvl w:val="0"/>
          <w:numId w:val="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Food left out is covered, for example when cooling down.</w:t>
      </w:r>
    </w:p>
    <w:p w14:paraId="5EF22F4E" w14:textId="564D856C" w:rsidR="007D369C" w:rsidRPr="00816F4A" w:rsidRDefault="00C82CD2" w:rsidP="007D369C">
      <w:pPr>
        <w:numPr>
          <w:ilvl w:val="0"/>
          <w:numId w:val="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Fruit and v</w:t>
      </w:r>
      <w:r w:rsidR="007D369C" w:rsidRPr="00816F4A">
        <w:rPr>
          <w:rFonts w:ascii="Arial" w:hAnsi="Arial" w:cs="Arial"/>
          <w:color w:val="000000" w:themeColor="text1"/>
          <w:sz w:val="22"/>
          <w:szCs w:val="22"/>
        </w:rPr>
        <w:t xml:space="preserve">egetables are peeled when needed, not in advance and left in water. </w:t>
      </w:r>
    </w:p>
    <w:p w14:paraId="7E188559" w14:textId="1F3F678B" w:rsidR="007D369C" w:rsidRPr="00816F4A" w:rsidRDefault="007D369C" w:rsidP="007D369C">
      <w:pPr>
        <w:numPr>
          <w:ilvl w:val="0"/>
          <w:numId w:val="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Food prepared for children with dietary needs and preferences is clearly labelled and every effort is made to prevent cross-contamination.</w:t>
      </w:r>
    </w:p>
    <w:p w14:paraId="0DC099AD" w14:textId="77777777" w:rsidR="007D369C" w:rsidRPr="00816F4A" w:rsidRDefault="007D369C" w:rsidP="007D369C">
      <w:pPr>
        <w:pStyle w:val="Heading1"/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Serving Food</w:t>
      </w:r>
    </w:p>
    <w:p w14:paraId="7233C292" w14:textId="77777777" w:rsidR="007D369C" w:rsidRPr="00816F4A" w:rsidRDefault="007D369C" w:rsidP="007D369C">
      <w:pPr>
        <w:pStyle w:val="ListParagraph"/>
        <w:numPr>
          <w:ilvl w:val="0"/>
          <w:numId w:val="6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Children with allergies/food preferences are not made to feel ‘singled out’ by the methods used to manage their allergy/food preference.</w:t>
      </w:r>
    </w:p>
    <w:p w14:paraId="46BC55FF" w14:textId="77685160" w:rsidR="007D369C" w:rsidRPr="00816F4A" w:rsidRDefault="007D369C" w:rsidP="007D369C">
      <w:pPr>
        <w:pStyle w:val="ListParagraph"/>
        <w:numPr>
          <w:ilvl w:val="0"/>
          <w:numId w:val="6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Food served to children with identified allergies is checked by </w:t>
      </w:r>
      <w:r w:rsidR="00C82CD2" w:rsidRPr="00816F4A">
        <w:rPr>
          <w:rFonts w:ascii="Arial" w:hAnsi="Arial" w:cs="Arial"/>
          <w:color w:val="000000" w:themeColor="text1"/>
          <w:sz w:val="22"/>
          <w:szCs w:val="22"/>
        </w:rPr>
        <w:t xml:space="preserve">staff </w:t>
      </w:r>
      <w:r w:rsidRPr="00816F4A">
        <w:rPr>
          <w:rFonts w:ascii="Arial" w:hAnsi="Arial" w:cs="Arial"/>
          <w:color w:val="000000" w:themeColor="text1"/>
          <w:sz w:val="22"/>
          <w:szCs w:val="22"/>
        </w:rPr>
        <w:t>to ensure that the meal (and its ingredients) does not contain any of the allergens for that child.</w:t>
      </w:r>
    </w:p>
    <w:p w14:paraId="423BF453" w14:textId="7FC6AC6C" w:rsidR="007D369C" w:rsidRPr="00816F4A" w:rsidRDefault="00C82CD2" w:rsidP="007D369C">
      <w:pPr>
        <w:pStyle w:val="ListParagraph"/>
        <w:numPr>
          <w:ilvl w:val="0"/>
          <w:numId w:val="6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Staff</w:t>
      </w:r>
      <w:r w:rsidR="007D369C" w:rsidRPr="00816F4A">
        <w:rPr>
          <w:rFonts w:ascii="Arial" w:hAnsi="Arial" w:cs="Arial"/>
          <w:color w:val="000000" w:themeColor="text1"/>
          <w:sz w:val="22"/>
          <w:szCs w:val="22"/>
        </w:rPr>
        <w:t xml:space="preserve"> remain present throughout the child’s mealtime.</w:t>
      </w:r>
    </w:p>
    <w:p w14:paraId="02A5EF83" w14:textId="77777777" w:rsidR="007D369C" w:rsidRPr="00816F4A" w:rsidRDefault="007D369C" w:rsidP="007D369C">
      <w:pPr>
        <w:numPr>
          <w:ilvl w:val="0"/>
          <w:numId w:val="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Tables are cleaned before and after, with soapy water or a suitable non-bleach product.</w:t>
      </w:r>
    </w:p>
    <w:p w14:paraId="32E22AB0" w14:textId="724647F2" w:rsidR="007D369C" w:rsidRPr="00816F4A" w:rsidRDefault="007D369C" w:rsidP="007D369C">
      <w:pPr>
        <w:numPr>
          <w:ilvl w:val="0"/>
          <w:numId w:val="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>Members of staff serving food wash their hands and cover any cuts.</w:t>
      </w:r>
    </w:p>
    <w:p w14:paraId="298C8153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816F4A">
        <w:rPr>
          <w:rFonts w:ascii="Arial" w:hAnsi="Arial" w:cs="Arial"/>
          <w:b/>
          <w:color w:val="000000" w:themeColor="text1"/>
          <w:sz w:val="22"/>
          <w:szCs w:val="22"/>
        </w:rPr>
        <w:t>E.coli</w:t>
      </w:r>
      <w:proofErr w:type="gramEnd"/>
      <w:r w:rsidRPr="00816F4A">
        <w:rPr>
          <w:rFonts w:ascii="Arial" w:hAnsi="Arial" w:cs="Arial"/>
          <w:b/>
          <w:color w:val="000000" w:themeColor="text1"/>
          <w:sz w:val="22"/>
          <w:szCs w:val="22"/>
        </w:rPr>
        <w:t xml:space="preserve"> prevention</w:t>
      </w:r>
    </w:p>
    <w:p w14:paraId="0E4A2067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Staff who are preparing and handling food, especially food that is not pre-prepared for consumption e.g. fruit and vegetables grown on the premises, must be aware of the potential spread of </w:t>
      </w:r>
      <w:proofErr w:type="gramStart"/>
      <w:r w:rsidRPr="00816F4A">
        <w:rPr>
          <w:rFonts w:ascii="Arial" w:hAnsi="Arial" w:cs="Arial"/>
          <w:color w:val="000000" w:themeColor="text1"/>
          <w:sz w:val="22"/>
          <w:szCs w:val="22"/>
        </w:rPr>
        <w:t>E.coli</w:t>
      </w:r>
      <w:proofErr w:type="gramEnd"/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 and must clean and store food in accordance with the </w:t>
      </w:r>
      <w:proofErr w:type="gramStart"/>
      <w:r w:rsidRPr="00816F4A">
        <w:rPr>
          <w:rFonts w:ascii="Arial" w:hAnsi="Arial" w:cs="Arial"/>
          <w:color w:val="000000" w:themeColor="text1"/>
          <w:sz w:val="22"/>
          <w:szCs w:val="22"/>
        </w:rPr>
        <w:t>E.coli</w:t>
      </w:r>
      <w:proofErr w:type="gramEnd"/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 0157 guidance, available at:</w:t>
      </w:r>
    </w:p>
    <w:p w14:paraId="4CC9BB53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0" w:anchor=".U7FCVGlOWdI" w:history="1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www.food.gov.uk/business-industry/guidancenotes/hygguid/ecoliguide#.U7FCVGlOWdI</w:t>
        </w:r>
      </w:hyperlink>
    </w:p>
    <w:p w14:paraId="722449EC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b/>
          <w:color w:val="000000" w:themeColor="text1"/>
          <w:sz w:val="22"/>
          <w:szCs w:val="22"/>
        </w:rPr>
        <w:t>Further guidance</w:t>
      </w:r>
    </w:p>
    <w:p w14:paraId="7534DCB7" w14:textId="77777777" w:rsidR="007D369C" w:rsidRPr="00816F4A" w:rsidRDefault="007D369C" w:rsidP="007D369C">
      <w:pPr>
        <w:spacing w:before="120" w:after="120" w:line="360" w:lineRule="auto"/>
        <w:rPr>
          <w:rStyle w:val="Hyperlink"/>
          <w:rFonts w:ascii="Arial" w:eastAsiaTheme="majorEastAsia" w:hAnsi="Arial" w:cs="Arial"/>
          <w:color w:val="000000" w:themeColor="text1"/>
          <w:sz w:val="22"/>
          <w:szCs w:val="22"/>
        </w:rPr>
      </w:pPr>
      <w:r w:rsidRPr="00816F4A">
        <w:rPr>
          <w:rStyle w:val="Hyperlink"/>
          <w:rFonts w:ascii="Arial" w:eastAsiaTheme="majorEastAsia" w:hAnsi="Arial" w:cs="Arial"/>
          <w:color w:val="000000" w:themeColor="text1"/>
          <w:sz w:val="22"/>
          <w:szCs w:val="22"/>
        </w:rPr>
        <w:t xml:space="preserve">Safer Food Better Business </w:t>
      </w:r>
      <w:hyperlink r:id="rId11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www.food.gov.uk/business-guidance/safer-food-better-business-sfbb</w:t>
        </w:r>
      </w:hyperlink>
    </w:p>
    <w:p w14:paraId="08044D99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color w:val="000000" w:themeColor="text1"/>
          <w:sz w:val="22"/>
          <w:szCs w:val="22"/>
        </w:rPr>
        <w:t xml:space="preserve">Campylobacter (Food Standards Agency) </w:t>
      </w:r>
      <w:hyperlink r:id="rId12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www.food.gov.uk/news-updates/campaigns/campylobacter/fsw-2014</w:t>
        </w:r>
      </w:hyperlink>
    </w:p>
    <w:p w14:paraId="28219677" w14:textId="77777777" w:rsidR="007D369C" w:rsidRPr="00816F4A" w:rsidRDefault="007D369C" w:rsidP="007D369C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16F4A">
        <w:rPr>
          <w:rFonts w:ascii="Arial" w:hAnsi="Arial" w:cs="Arial"/>
          <w:b/>
          <w:bCs/>
          <w:color w:val="000000" w:themeColor="text1"/>
          <w:sz w:val="22"/>
          <w:szCs w:val="22"/>
        </w:rPr>
        <w:t>Food allergy/anaphylaxis guidance</w:t>
      </w:r>
    </w:p>
    <w:p w14:paraId="2B960955" w14:textId="77777777" w:rsidR="007D369C" w:rsidRPr="00816F4A" w:rsidRDefault="007D369C" w:rsidP="007D369C">
      <w:pPr>
        <w:spacing w:before="120" w:after="120" w:line="360" w:lineRule="auto"/>
        <w:rPr>
          <w:color w:val="000000" w:themeColor="text1"/>
        </w:rPr>
      </w:pPr>
      <w:hyperlink r:id="rId13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https://www.bsaci.org/wp-content/uploads/2020/02/BSACIAllergyActionPlan2018NoAAI2981-2.pdf</w:t>
        </w:r>
      </w:hyperlink>
    </w:p>
    <w:p w14:paraId="35F0BAE6" w14:textId="77777777" w:rsidR="007D369C" w:rsidRPr="00816F4A" w:rsidRDefault="007D369C" w:rsidP="007D369C">
      <w:pPr>
        <w:spacing w:before="120" w:after="120" w:line="360" w:lineRule="auto"/>
        <w:rPr>
          <w:color w:val="000000" w:themeColor="text1"/>
        </w:rPr>
      </w:pPr>
      <w:hyperlink r:id="rId14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https://www.nhs.uk/conditions/anaphylaxis/</w:t>
        </w:r>
      </w:hyperlink>
    </w:p>
    <w:p w14:paraId="6F3EEC28" w14:textId="77777777" w:rsidR="007D369C" w:rsidRPr="00816F4A" w:rsidRDefault="007D369C" w:rsidP="007D369C">
      <w:pPr>
        <w:spacing w:before="120" w:after="120" w:line="360" w:lineRule="auto"/>
        <w:rPr>
          <w:color w:val="000000" w:themeColor="text1"/>
        </w:rPr>
      </w:pPr>
      <w:hyperlink r:id="rId15">
        <w:r w:rsidRPr="00816F4A">
          <w:rPr>
            <w:rStyle w:val="Hyperlink"/>
            <w:rFonts w:ascii="Arial" w:eastAsiaTheme="majorEastAsia" w:hAnsi="Arial" w:cs="Arial"/>
            <w:color w:val="000000" w:themeColor="text1"/>
            <w:sz w:val="22"/>
            <w:szCs w:val="22"/>
          </w:rPr>
          <w:t>https://www.nhs.uk/conditions/food-allergy/</w:t>
        </w:r>
      </w:hyperlink>
    </w:p>
    <w:p w14:paraId="5BF6BC3B" w14:textId="77777777" w:rsidR="007D369C" w:rsidRPr="00816F4A" w:rsidRDefault="007D369C" w:rsidP="007D369C">
      <w:pPr>
        <w:spacing w:before="120" w:after="120" w:line="360" w:lineRule="auto"/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</w:pPr>
      <w:r w:rsidRPr="00816F4A">
        <w:rPr>
          <w:rFonts w:ascii="Arial" w:eastAsia="Arial" w:hAnsi="Arial" w:cs="Arial"/>
          <w:color w:val="000000" w:themeColor="text1"/>
          <w:sz w:val="22"/>
          <w:szCs w:val="22"/>
        </w:rPr>
        <w:fldChar w:fldCharType="begin"/>
      </w:r>
      <w:r w:rsidRPr="00816F4A">
        <w:rPr>
          <w:rFonts w:ascii="Arial" w:eastAsia="Arial" w:hAnsi="Arial" w:cs="Arial"/>
          <w:color w:val="000000" w:themeColor="text1"/>
          <w:sz w:val="22"/>
          <w:szCs w:val="22"/>
        </w:rPr>
        <w:instrText>HYPERLINK "chrome-extension://efaidnbmnnnibpcajpcglclefindmkaj/https:/assets.publishing.service.gov.uk/media/6839b752210698b3364e86fc/Early_years_foundation_stage_nutrition_guidance.pdf"</w:instrText>
      </w:r>
      <w:r w:rsidRPr="00816F4A">
        <w:rPr>
          <w:rFonts w:ascii="Arial" w:eastAsia="Arial" w:hAnsi="Arial" w:cs="Arial"/>
          <w:color w:val="000000" w:themeColor="text1"/>
          <w:sz w:val="22"/>
          <w:szCs w:val="22"/>
        </w:rPr>
      </w:r>
      <w:r w:rsidRPr="00816F4A">
        <w:rPr>
          <w:rFonts w:ascii="Arial" w:eastAsia="Arial" w:hAnsi="Arial" w:cs="Arial"/>
          <w:color w:val="000000" w:themeColor="text1"/>
          <w:sz w:val="22"/>
          <w:szCs w:val="22"/>
        </w:rPr>
        <w:fldChar w:fldCharType="separate"/>
      </w:r>
      <w:r w:rsidRPr="00816F4A"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  <w:t>Early Years Foundation Stage nutrition guidance</w:t>
      </w:r>
    </w:p>
    <w:p w14:paraId="23A00D76" w14:textId="77777777" w:rsidR="007D369C" w:rsidRPr="00816F4A" w:rsidRDefault="007D369C" w:rsidP="007D369C">
      <w:p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16F4A">
        <w:rPr>
          <w:rFonts w:ascii="Arial" w:eastAsia="Arial" w:hAnsi="Arial" w:cs="Arial"/>
          <w:color w:val="000000" w:themeColor="text1"/>
          <w:sz w:val="22"/>
          <w:szCs w:val="22"/>
        </w:rPr>
        <w:fldChar w:fldCharType="end"/>
      </w:r>
      <w:hyperlink r:id="rId16" w:history="1">
        <w:r w:rsidRPr="00816F4A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Common_allergens.pdf</w:t>
        </w:r>
      </w:hyperlink>
    </w:p>
    <w:p w14:paraId="561E3720" w14:textId="2353ADDB" w:rsidR="00C82CD2" w:rsidRPr="00816F4A" w:rsidRDefault="007D369C" w:rsidP="007D369C">
      <w:pPr>
        <w:spacing w:before="120" w:after="120" w:line="360" w:lineRule="auto"/>
        <w:rPr>
          <w:color w:val="000000" w:themeColor="text1"/>
        </w:rPr>
      </w:pPr>
      <w:hyperlink r:id="rId17" w:history="1">
        <w:r w:rsidRPr="00816F4A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Allergen checklist for food businesses | Food Standards Agency</w:t>
        </w:r>
      </w:hyperlink>
    </w:p>
    <w:p w14:paraId="5C417AF5" w14:textId="77777777" w:rsidR="00C82CD2" w:rsidRPr="00816F4A" w:rsidRDefault="00C82CD2">
      <w:pPr>
        <w:spacing w:after="160" w:line="278" w:lineRule="auto"/>
        <w:rPr>
          <w:color w:val="000000" w:themeColor="text1"/>
        </w:rPr>
      </w:pPr>
      <w:r w:rsidRPr="00816F4A">
        <w:rPr>
          <w:color w:val="000000" w:themeColor="text1"/>
        </w:rPr>
        <w:br w:type="page"/>
      </w:r>
    </w:p>
    <w:p w14:paraId="5E8B5BF5" w14:textId="77777777" w:rsidR="00976C22" w:rsidRPr="00816F4A" w:rsidRDefault="00976C22" w:rsidP="007D369C">
      <w:p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376B0BD" w14:textId="77777777" w:rsidR="00C82CD2" w:rsidRPr="00816F4A" w:rsidRDefault="00C82CD2" w:rsidP="007D369C">
      <w:p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5"/>
        <w:gridCol w:w="3164"/>
        <w:gridCol w:w="2177"/>
      </w:tblGrid>
      <w:tr w:rsidR="00816F4A" w:rsidRPr="00816F4A" w14:paraId="60B8A7E2" w14:textId="77777777" w:rsidTr="00E50EBF">
        <w:tc>
          <w:tcPr>
            <w:tcW w:w="5352" w:type="dxa"/>
          </w:tcPr>
          <w:p w14:paraId="0D84B0FC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816F4A">
              <w:rPr>
                <w:rFonts w:ascii="Arial" w:hAnsi="Arial" w:cs="Arial"/>
                <w:color w:val="000000" w:themeColor="text1"/>
              </w:rPr>
              <w:t>This policy was adopted 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</w:tcPr>
          <w:p w14:paraId="36866A3F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5" w:type="dxa"/>
          </w:tcPr>
          <w:p w14:paraId="5DA6BD4A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i/>
                <w:color w:val="000000" w:themeColor="text1"/>
              </w:rPr>
            </w:pPr>
            <w:r w:rsidRPr="00816F4A">
              <w:rPr>
                <w:rFonts w:ascii="Arial" w:hAnsi="Arial" w:cs="Arial"/>
                <w:i/>
                <w:color w:val="000000" w:themeColor="text1"/>
              </w:rPr>
              <w:t>(name of provider)</w:t>
            </w:r>
          </w:p>
        </w:tc>
      </w:tr>
      <w:tr w:rsidR="00816F4A" w:rsidRPr="00816F4A" w14:paraId="2D423E7A" w14:textId="77777777" w:rsidTr="00E50EBF">
        <w:tc>
          <w:tcPr>
            <w:tcW w:w="5352" w:type="dxa"/>
          </w:tcPr>
          <w:p w14:paraId="270D6770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816F4A">
              <w:rPr>
                <w:rFonts w:ascii="Arial" w:hAnsi="Arial" w:cs="Arial"/>
                <w:color w:val="000000" w:themeColor="text1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48460176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5" w:type="dxa"/>
          </w:tcPr>
          <w:p w14:paraId="40B2FA89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i/>
                <w:color w:val="000000" w:themeColor="text1"/>
              </w:rPr>
            </w:pPr>
            <w:r w:rsidRPr="00816F4A">
              <w:rPr>
                <w:rFonts w:ascii="Arial" w:hAnsi="Arial" w:cs="Arial"/>
                <w:i/>
                <w:color w:val="000000" w:themeColor="text1"/>
              </w:rPr>
              <w:t>(date)</w:t>
            </w:r>
          </w:p>
        </w:tc>
      </w:tr>
      <w:tr w:rsidR="00816F4A" w:rsidRPr="00816F4A" w14:paraId="58BE318F" w14:textId="77777777" w:rsidTr="00E50EBF">
        <w:tc>
          <w:tcPr>
            <w:tcW w:w="5352" w:type="dxa"/>
          </w:tcPr>
          <w:p w14:paraId="61638697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816F4A">
              <w:rPr>
                <w:rFonts w:ascii="Arial" w:hAnsi="Arial" w:cs="Arial"/>
                <w:color w:val="000000" w:themeColor="text1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422F3881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5" w:type="dxa"/>
          </w:tcPr>
          <w:p w14:paraId="28978B0D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i/>
                <w:color w:val="000000" w:themeColor="text1"/>
              </w:rPr>
            </w:pPr>
            <w:r w:rsidRPr="00816F4A">
              <w:rPr>
                <w:rFonts w:ascii="Arial" w:hAnsi="Arial" w:cs="Arial"/>
                <w:i/>
                <w:color w:val="000000" w:themeColor="text1"/>
              </w:rPr>
              <w:t>(date)</w:t>
            </w:r>
          </w:p>
        </w:tc>
      </w:tr>
      <w:tr w:rsidR="00816F4A" w:rsidRPr="00816F4A" w14:paraId="4C2C7F0D" w14:textId="77777777" w:rsidTr="00E50EBF">
        <w:tc>
          <w:tcPr>
            <w:tcW w:w="5352" w:type="dxa"/>
          </w:tcPr>
          <w:p w14:paraId="138031DD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816F4A">
              <w:rPr>
                <w:rFonts w:ascii="Arial" w:hAnsi="Arial" w:cs="Arial"/>
                <w:color w:val="000000" w:themeColor="text1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</w:tcPr>
          <w:p w14:paraId="3805A8E1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16F4A" w:rsidRPr="00816F4A" w14:paraId="207CF3B7" w14:textId="77777777" w:rsidTr="00E50EBF">
        <w:tblPrEx>
          <w:tblLook w:val="04A0" w:firstRow="1" w:lastRow="0" w:firstColumn="1" w:lastColumn="0" w:noHBand="0" w:noVBand="1"/>
        </w:tblPrEx>
        <w:tc>
          <w:tcPr>
            <w:tcW w:w="5352" w:type="dxa"/>
          </w:tcPr>
          <w:p w14:paraId="62130238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816F4A">
              <w:rPr>
                <w:rFonts w:ascii="Arial" w:hAnsi="Arial" w:cs="Arial"/>
                <w:color w:val="000000" w:themeColor="text1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0E48F8C9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976C22" w:rsidRPr="00816F4A" w14:paraId="60289105" w14:textId="77777777" w:rsidTr="00E50EBF">
        <w:tblPrEx>
          <w:tblLook w:val="04A0" w:firstRow="1" w:lastRow="0" w:firstColumn="1" w:lastColumn="0" w:noHBand="0" w:noVBand="1"/>
        </w:tblPrEx>
        <w:tc>
          <w:tcPr>
            <w:tcW w:w="5352" w:type="dxa"/>
          </w:tcPr>
          <w:p w14:paraId="749E6BE6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816F4A">
              <w:rPr>
                <w:rFonts w:ascii="Arial" w:hAnsi="Arial" w:cs="Arial"/>
                <w:color w:val="000000" w:themeColor="text1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7C9E4E23" w14:textId="77777777" w:rsidR="00976C22" w:rsidRPr="00816F4A" w:rsidRDefault="00976C22" w:rsidP="00E50EBF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BEC191" w14:textId="77777777" w:rsidR="00074B68" w:rsidRPr="00816F4A" w:rsidRDefault="00074B68">
      <w:pPr>
        <w:rPr>
          <w:color w:val="000000" w:themeColor="text1"/>
        </w:rPr>
      </w:pPr>
    </w:p>
    <w:sectPr w:rsidR="00074B68" w:rsidRPr="00816F4A" w:rsidSect="00976C22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0E1E" w14:textId="77777777" w:rsidR="000216DC" w:rsidRDefault="000216DC" w:rsidP="00976C22">
      <w:r>
        <w:separator/>
      </w:r>
    </w:p>
  </w:endnote>
  <w:endnote w:type="continuationSeparator" w:id="0">
    <w:p w14:paraId="7393718A" w14:textId="77777777" w:rsidR="000216DC" w:rsidRDefault="000216DC" w:rsidP="0097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B720" w14:textId="77777777" w:rsidR="00976C22" w:rsidRPr="00005E4E" w:rsidRDefault="00976C22" w:rsidP="5B849896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B849896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3D6E" w14:textId="77777777" w:rsidR="000216DC" w:rsidRDefault="000216DC" w:rsidP="00976C22">
      <w:r>
        <w:separator/>
      </w:r>
    </w:p>
  </w:footnote>
  <w:footnote w:type="continuationSeparator" w:id="0">
    <w:p w14:paraId="514A82D7" w14:textId="77777777" w:rsidR="000216DC" w:rsidRDefault="000216DC" w:rsidP="0097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BC22" w14:textId="77777777" w:rsidR="00976C22" w:rsidRDefault="00976C22" w:rsidP="00976C2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SOUTH WOODHAM PRESCHOOL</w:t>
    </w:r>
  </w:p>
  <w:p w14:paraId="6E29AC41" w14:textId="77777777" w:rsidR="00976C22" w:rsidRDefault="00976C22" w:rsidP="00976C2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p>
  <w:p w14:paraId="37F7B34A" w14:textId="1B73A84F" w:rsidR="00976C22" w:rsidRDefault="00976C22" w:rsidP="00976C2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 xml:space="preserve">FOOD </w:t>
    </w:r>
    <w:r w:rsidR="007D369C">
      <w:t>PREPARATION, STORAGE &amp; PURCHASE</w:t>
    </w:r>
    <w:r>
      <w:t xml:space="preserve"> POLICY</w:t>
    </w:r>
  </w:p>
  <w:p w14:paraId="7BBC7629" w14:textId="77777777" w:rsidR="00976C22" w:rsidRDefault="00976C22" w:rsidP="00976C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8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8184">
    <w:abstractNumId w:val="3"/>
  </w:num>
  <w:num w:numId="2" w16cid:durableId="1691222243">
    <w:abstractNumId w:val="7"/>
  </w:num>
  <w:num w:numId="3" w16cid:durableId="366104808">
    <w:abstractNumId w:val="6"/>
  </w:num>
  <w:num w:numId="4" w16cid:durableId="489367338">
    <w:abstractNumId w:val="2"/>
  </w:num>
  <w:num w:numId="5" w16cid:durableId="1988393540">
    <w:abstractNumId w:val="5"/>
  </w:num>
  <w:num w:numId="6" w16cid:durableId="746538104">
    <w:abstractNumId w:val="1"/>
  </w:num>
  <w:num w:numId="7" w16cid:durableId="348918497">
    <w:abstractNumId w:val="0"/>
  </w:num>
  <w:num w:numId="8" w16cid:durableId="909196057">
    <w:abstractNumId w:val="8"/>
  </w:num>
  <w:num w:numId="9" w16cid:durableId="1476604058">
    <w:abstractNumId w:val="9"/>
  </w:num>
  <w:num w:numId="10" w16cid:durableId="2884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22"/>
    <w:rsid w:val="000216DC"/>
    <w:rsid w:val="00074B68"/>
    <w:rsid w:val="000A4C2E"/>
    <w:rsid w:val="001B7C8D"/>
    <w:rsid w:val="00344C78"/>
    <w:rsid w:val="00446E02"/>
    <w:rsid w:val="00475512"/>
    <w:rsid w:val="004B6080"/>
    <w:rsid w:val="004D1113"/>
    <w:rsid w:val="006D1B07"/>
    <w:rsid w:val="007D369C"/>
    <w:rsid w:val="007D3D2B"/>
    <w:rsid w:val="007D6B1F"/>
    <w:rsid w:val="00816F4A"/>
    <w:rsid w:val="00976C22"/>
    <w:rsid w:val="00AC6E3F"/>
    <w:rsid w:val="00C234C4"/>
    <w:rsid w:val="00C82CD2"/>
    <w:rsid w:val="00E70EC2"/>
    <w:rsid w:val="00EF07EB"/>
    <w:rsid w:val="00F213A6"/>
    <w:rsid w:val="00F90F68"/>
    <w:rsid w:val="00FD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EC62"/>
  <w15:chartTrackingRefBased/>
  <w15:docId w15:val="{9F101774-4A59-4919-BC56-9853A0B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2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7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6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C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976C2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6C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22"/>
    <w:rPr>
      <w:rFonts w:ascii="Times New Roman" w:eastAsia="Times New Roman" w:hAnsi="Times New Roman" w:cs="Times New Roman"/>
      <w:kern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6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22"/>
    <w:rPr>
      <w:rFonts w:ascii="Times New Roman" w:eastAsia="Times New Roman" w:hAnsi="Times New Roman" w:cs="Times New Roman"/>
      <w:kern w:val="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69C"/>
    <w:rPr>
      <w:rFonts w:ascii="Calibri" w:eastAsiaTheme="minorHAnsi" w:hAnsi="Calibri" w:cstheme="minorBidi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69C"/>
    <w:rPr>
      <w:rFonts w:ascii="Calibri" w:hAnsi="Calibri"/>
      <w:kern w:val="0"/>
      <w:sz w:val="22"/>
      <w:szCs w:val="21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ergytraining.food.gov.uk/" TargetMode="External"/><Relationship Id="rId13" Type="http://schemas.openxmlformats.org/officeDocument/2006/relationships/hyperlink" Target="https://www.bsaci.org/wp-content/uploads/2020/02/BSACIAllergyActionPlan2018NoAAI2981-2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ood.gov.uk/news-updates/campaigns/campylobacter/fsw-2014" TargetMode="External"/><Relationship Id="rId17" Type="http://schemas.openxmlformats.org/officeDocument/2006/relationships/hyperlink" Target="https://www.food.gov.uk/business-guidance/allergen-checklist-for-food-business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sets.ctfassets.net/dvmeh832nmjc/1UcJVonGkBHy9lHHNt9GmL/90b081db600d8cad30b870f458a60ed6/Common_allergen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d.gov.uk/business-guidance/safer-food-better-business-sfb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conditions/food-allergy/" TargetMode="External"/><Relationship Id="rId10" Type="http://schemas.openxmlformats.org/officeDocument/2006/relationships/hyperlink" Target="https://preschoolla.sharepoint.com/sites/COMM/Shared%20Documents/Pubs/Pubs%20Print%20Promo/Pub%20Drafts/A026%20Policies%20&amp;%20Procedures%20for%20the%20EYFS%202021/A026%20FINAL/www.food.gov.uk/business-industry/guidancenotes/hygguid/ecoligui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ood.gov.uk/business-guidance/allergen-information-for-pre-packed-and-loose-foods" TargetMode="External"/><Relationship Id="rId14" Type="http://schemas.openxmlformats.org/officeDocument/2006/relationships/hyperlink" Target="https://www.nhs.uk/conditions/anaphylax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344A-0D1E-45A5-8728-342B0588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2025-09-05T13:49:00Z</dcterms:created>
  <dcterms:modified xsi:type="dcterms:W3CDTF">2025-09-09T12:54:00Z</dcterms:modified>
</cp:coreProperties>
</file>